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36"/>
        </w:rPr>
        <w:drawing>
          <wp:inline distT="0" distB="0" distL="0" distR="0">
            <wp:extent cx="1733550" cy="4826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639" cy="48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尊敬的投资者：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我行发行的日日润金和润日升理财产品将在</w:t>
      </w:r>
      <w:r>
        <w:rPr>
          <w:rFonts w:hint="eastAsia"/>
          <w:sz w:val="28"/>
          <w:szCs w:val="28"/>
          <w:lang w:val="en-US" w:eastAsia="zh-CN"/>
        </w:rPr>
        <w:t>11月25日临时进行收益分红分配，收益涵盖区间：11月21日至11月25日（不含），届时您的分红资金将在11月25日后的2个工作日内到账。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自2022年11月25日（含）起，您的收益将切换为红利再投，进行份额结转，不再进行现金分红。具体请查阅产品说明书。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特此公告！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珠海华润银行股份有限公司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2022年11月22日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D45D2A"/>
    <w:rsid w:val="27D46C45"/>
    <w:rsid w:val="29105CE0"/>
    <w:rsid w:val="2A052E98"/>
    <w:rsid w:val="33B3224E"/>
    <w:rsid w:val="74B56D96"/>
    <w:rsid w:val="775007A7"/>
    <w:rsid w:val="7F3C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2022-05-16T06:42:00Z</dcterms:created>
  <dc:creator>linaina1</dc:creator>
  <cp:lastModifiedBy>李容露</cp:lastModifiedBy>
  <dcterms:modified xsi:type="dcterms:W3CDTF">2022-11-25T11:12:13Z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19F698E94E504E1A8E9A34F5ACB2A74A</vt:lpwstr>
  </property>
</Properties>
</file>