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尊敬的投资者：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我行发行的日日润金和润日升理财产品“快速赎回”</w:t>
      </w:r>
      <w:r>
        <w:rPr>
          <w:rFonts w:hint="eastAsia"/>
          <w:sz w:val="28"/>
          <w:szCs w:val="28"/>
          <w:lang w:val="en-US" w:eastAsia="zh-CN"/>
        </w:rPr>
        <w:t>上限1万元功能将于2023年1月1日生效。2023年1月1日前，您在日日润金和润日升理财产品开放时间（每个工作日9:00-15:00）发起的快速赎回申请将被实时确认，资金将实时到账，为您提供更好的投资效率。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特此公告！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珠海华润银行股份有限公司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2022年11月22日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D45D2A"/>
    <w:rsid w:val="27D46C45"/>
    <w:rsid w:val="29105CE0"/>
    <w:rsid w:val="2A052E98"/>
    <w:rsid w:val="34B97D30"/>
    <w:rsid w:val="6D2E2AA5"/>
    <w:rsid w:val="74B56D96"/>
    <w:rsid w:val="775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2022-05-16T06:42:00Z</dcterms:created>
  <dc:creator>linaina1</dc:creator>
  <cp:lastModifiedBy>李容露</cp:lastModifiedBy>
  <dcterms:modified xsi:type="dcterms:W3CDTF">2022-11-22T09:41:35Z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583AFBE04122438387908ECD4300E1AB</vt:lpwstr>
  </property>
</Properties>
</file>